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2954"/>
          <w:tab w:val="left" w:pos="7938"/>
        </w:tabs>
        <w:spacing w:before="30" w:line="360" w:lineRule="auto"/>
        <w:ind w:left="0" w:right="84"/>
        <w:jc w:val="center"/>
        <w:rPr>
          <w:rFonts w:hint="default" w:ascii="Times New Roman" w:hAnsi="Times New Roman" w:eastAsia="宋体" w:cs="Times New Roman"/>
          <w:lang w:val="en-US" w:eastAsia="zh-CN"/>
        </w:rPr>
      </w:pPr>
      <w:r>
        <w:rPr>
          <w:rFonts w:ascii="Times New Roman" w:hAnsi="Times New Roman" w:eastAsia="宋体" w:cs="Times New Roman"/>
          <w:kern w:val="2"/>
        </w:rPr>
        <w:t>证券代码：300873      证券简称：海晨股份      公告编号：2023-</w:t>
      </w:r>
      <w:r>
        <w:rPr>
          <w:rFonts w:hint="eastAsia" w:ascii="Times New Roman" w:hAnsi="Times New Roman" w:eastAsia="宋体" w:cs="Times New Roman"/>
          <w:kern w:val="2"/>
          <w:lang w:val="en-US" w:eastAsia="zh-CN"/>
        </w:rPr>
        <w:t>039</w:t>
      </w:r>
    </w:p>
    <w:p>
      <w:pPr>
        <w:pStyle w:val="2"/>
        <w:spacing w:before="203" w:line="360" w:lineRule="auto"/>
        <w:ind w:right="176" w:firstLine="643" w:firstLineChars="200"/>
        <w:rPr>
          <w:rFonts w:ascii="Times New Roman" w:hAnsi="Times New Roman" w:eastAsia="宋体" w:cs="Times New Roman"/>
          <w:b/>
          <w:bCs/>
        </w:rPr>
      </w:pPr>
      <w:r>
        <w:rPr>
          <w:rFonts w:ascii="Times New Roman" w:hAnsi="Times New Roman" w:eastAsia="宋体" w:cs="Times New Roman"/>
          <w:b/>
          <w:bCs/>
        </w:rPr>
        <w:t>江苏海晨物流股份有限公司</w:t>
      </w:r>
    </w:p>
    <w:p>
      <w:pPr>
        <w:spacing w:line="360" w:lineRule="auto"/>
        <w:ind w:right="185" w:firstLine="643" w:firstLineChars="200"/>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mc:AlternateContent>
          <mc:Choice Requires="wps">
            <w:drawing>
              <wp:anchor distT="0" distB="0" distL="0" distR="0" simplePos="0" relativeHeight="251659264" behindDoc="1" locked="0" layoutInCell="1" allowOverlap="1">
                <wp:simplePos x="0" y="0"/>
                <wp:positionH relativeFrom="page">
                  <wp:posOffset>1096645</wp:posOffset>
                </wp:positionH>
                <wp:positionV relativeFrom="paragraph">
                  <wp:posOffset>551815</wp:posOffset>
                </wp:positionV>
                <wp:extent cx="5415915" cy="766445"/>
                <wp:effectExtent l="0" t="0" r="13335" b="14605"/>
                <wp:wrapTopAndBottom/>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15915" cy="766445"/>
                        </a:xfrm>
                        <a:prstGeom prst="rect">
                          <a:avLst/>
                        </a:prstGeom>
                        <a:noFill/>
                        <a:ln w="7620">
                          <a:solidFill>
                            <a:srgbClr val="000000"/>
                          </a:solidFill>
                          <a:miter lim="800000"/>
                        </a:ln>
                      </wps:spPr>
                      <wps:txbx>
                        <w:txbxContent>
                          <w:p>
                            <w:pPr>
                              <w:pStyle w:val="5"/>
                              <w:spacing w:before="156" w:beforeLines="50" w:after="156" w:afterLines="50" w:line="360" w:lineRule="auto"/>
                              <w:ind w:left="0" w:right="102" w:firstLine="460" w:firstLineChars="200"/>
                              <w:rPr>
                                <w:rFonts w:eastAsiaTheme="minorEastAsia"/>
                              </w:rPr>
                            </w:pPr>
                            <w:r>
                              <w:rPr>
                                <w:rFonts w:hint="eastAsia" w:ascii="宋体" w:hAnsi="宋体" w:eastAsia="宋体" w:cs="宋体"/>
                                <w:spacing w:val="-5"/>
                              </w:rPr>
                              <w:t>本公司及董事会全体成员保证信息披露的内容真实、准确、完整，没有虚假记载、误导性陈述或重大遗漏。</w:t>
                            </w:r>
                          </w:p>
                          <w:p>
                            <w:pPr>
                              <w:pStyle w:val="5"/>
                              <w:spacing w:line="220" w:lineRule="auto"/>
                              <w:ind w:left="0" w:right="101" w:firstLine="480" w:firstLineChars="200"/>
                              <w:rPr>
                                <w:rFonts w:eastAsiaTheme="minorEastAsia"/>
                              </w:rPr>
                            </w:pPr>
                          </w:p>
                          <w:p>
                            <w:pPr>
                              <w:pStyle w:val="5"/>
                              <w:spacing w:line="220" w:lineRule="auto"/>
                              <w:ind w:left="0" w:right="101" w:firstLine="480" w:firstLineChars="200"/>
                              <w:rPr>
                                <w:rFonts w:eastAsiaTheme="minorEastAsia"/>
                              </w:rPr>
                            </w:pPr>
                          </w:p>
                          <w:p>
                            <w:pPr>
                              <w:pStyle w:val="5"/>
                              <w:spacing w:line="220" w:lineRule="auto"/>
                              <w:ind w:left="0" w:right="101" w:firstLine="480" w:firstLineChars="200"/>
                              <w:rPr>
                                <w:rFonts w:eastAsiaTheme="minorEastAsia"/>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6.35pt;margin-top:43.45pt;height:60.35pt;width:426.45pt;mso-position-horizontal-relative:page;mso-wrap-distance-bottom:0pt;mso-wrap-distance-top:0pt;z-index:-251657216;mso-width-relative:page;mso-height-relative:page;" filled="f" stroked="t" coordsize="21600,21600" o:gfxdata="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unVS2QAAAAsBAAAPAAAAAAAAAAEAIAAAACIAAABkcnMvZG93bnJldi54&#10;bWxQSwECFAAUAAAACACHTuJAsJboojICAABOBAAADgAAAAAAAAABACAAAAAoAQAAZHJzL2Uyb0Rv&#10;Yy54bWxQSwUGAAAAAAYABgBZAQAAzAUAAAAA&#10;">
                <v:fill on="f" focussize="0,0"/>
                <v:stroke weight="0.6pt" color="#000000" miterlimit="8" joinstyle="miter"/>
                <v:imagedata o:title=""/>
                <o:lock v:ext="edit" aspectratio="f"/>
                <v:textbox inset="0mm,0mm,0mm,0mm">
                  <w:txbxContent>
                    <w:p>
                      <w:pPr>
                        <w:pStyle w:val="5"/>
                        <w:spacing w:before="156" w:beforeLines="50" w:after="156" w:afterLines="50" w:line="360" w:lineRule="auto"/>
                        <w:ind w:left="0" w:right="102" w:firstLine="460" w:firstLineChars="200"/>
                        <w:rPr>
                          <w:rFonts w:eastAsiaTheme="minorEastAsia"/>
                        </w:rPr>
                      </w:pPr>
                      <w:r>
                        <w:rPr>
                          <w:rFonts w:hint="eastAsia" w:ascii="宋体" w:hAnsi="宋体" w:eastAsia="宋体" w:cs="宋体"/>
                          <w:spacing w:val="-5"/>
                        </w:rPr>
                        <w:t>本公司及董事会全体成员保证信息披露的内容真实、准确、完整，没有虚假记载、误导性陈述或重大遗漏。</w:t>
                      </w:r>
                    </w:p>
                    <w:p>
                      <w:pPr>
                        <w:pStyle w:val="5"/>
                        <w:spacing w:line="220" w:lineRule="auto"/>
                        <w:ind w:left="0" w:right="101" w:firstLine="480" w:firstLineChars="200"/>
                        <w:rPr>
                          <w:rFonts w:eastAsiaTheme="minorEastAsia"/>
                        </w:rPr>
                      </w:pPr>
                    </w:p>
                    <w:p>
                      <w:pPr>
                        <w:pStyle w:val="5"/>
                        <w:spacing w:line="220" w:lineRule="auto"/>
                        <w:ind w:left="0" w:right="101" w:firstLine="480" w:firstLineChars="200"/>
                        <w:rPr>
                          <w:rFonts w:eastAsiaTheme="minorEastAsia"/>
                        </w:rPr>
                      </w:pPr>
                    </w:p>
                    <w:p>
                      <w:pPr>
                        <w:pStyle w:val="5"/>
                        <w:spacing w:line="220" w:lineRule="auto"/>
                        <w:ind w:left="0" w:right="101" w:firstLine="480" w:firstLineChars="200"/>
                        <w:rPr>
                          <w:rFonts w:eastAsiaTheme="minorEastAsia"/>
                        </w:rPr>
                      </w:pPr>
                    </w:p>
                  </w:txbxContent>
                </v:textbox>
                <w10:wrap type="topAndBottom"/>
              </v:shape>
            </w:pict>
          </mc:Fallback>
        </mc:AlternateContent>
      </w:r>
      <w:r>
        <w:rPr>
          <w:rFonts w:ascii="Times New Roman" w:hAnsi="Times New Roman" w:eastAsia="宋体" w:cs="Times New Roman"/>
          <w:b/>
          <w:bCs/>
          <w:sz w:val="32"/>
          <w:szCs w:val="32"/>
        </w:rPr>
        <w:t>关于</w:t>
      </w:r>
      <w:r>
        <w:rPr>
          <w:rFonts w:hint="eastAsia" w:ascii="Times New Roman" w:hAnsi="Times New Roman" w:eastAsia="宋体" w:cs="Times New Roman"/>
          <w:b/>
          <w:bCs/>
          <w:sz w:val="32"/>
          <w:szCs w:val="32"/>
        </w:rPr>
        <w:t>参股</w:t>
      </w:r>
      <w:r>
        <w:rPr>
          <w:rFonts w:ascii="Times New Roman" w:hAnsi="Times New Roman" w:eastAsia="宋体" w:cs="Times New Roman"/>
          <w:b/>
          <w:bCs/>
          <w:sz w:val="32"/>
          <w:szCs w:val="32"/>
        </w:rPr>
        <w:t>子公司投资海发电子信息产业园项目的公告</w:t>
      </w:r>
    </w:p>
    <w:p>
      <w:pPr>
        <w:widowControl/>
        <w:shd w:val="clear" w:color="auto" w:fill="FFFFFF"/>
        <w:autoSpaceDE/>
        <w:autoSpaceDN/>
        <w:spacing w:before="156" w:beforeLines="50" w:after="156" w:afterLines="50" w:line="360" w:lineRule="auto"/>
        <w:ind w:firstLine="482" w:firstLineChars="200"/>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一、概述</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1、江苏海晨物流股份有限公司（以下简称“公司”）</w:t>
      </w:r>
      <w:r>
        <w:rPr>
          <w:rFonts w:hint="eastAsia" w:ascii="Times New Roman" w:hAnsi="Times New Roman" w:eastAsia="宋体" w:cs="Times New Roman"/>
          <w:color w:val="000000"/>
          <w:sz w:val="24"/>
          <w:szCs w:val="24"/>
        </w:rPr>
        <w:t>参股</w:t>
      </w:r>
      <w:r>
        <w:rPr>
          <w:rFonts w:ascii="Times New Roman" w:hAnsi="Times New Roman" w:eastAsia="宋体" w:cs="Times New Roman"/>
          <w:color w:val="000000"/>
          <w:sz w:val="24"/>
          <w:szCs w:val="24"/>
        </w:rPr>
        <w:t>子公司深圳市光明海发投资建设有限公司拟投资海发电子信息产业园项目。</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公司于2023年4月22日召开第三届董事会第九次会议，审议通过《关于子公司投资海发电子信息产业园项目的议案》，并同意授权公司董事长在董事会审议通过的投资额度范围内就具体事项行使决策权，签署相关合同、协议等法律文件，并全权办理本项目的所有事宜，该项授权自董事会审议通过之日起生效。</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3、本次对外投资事项不构成关联交易，亦不构成《上市公司重大资产重组管理办法》规定的重大资产重组。</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4、本次对外投资事项在公司董事会审议权限范围之内，无需公司股东大会审议。</w:t>
      </w:r>
    </w:p>
    <w:p>
      <w:pPr>
        <w:widowControl/>
        <w:shd w:val="clear" w:color="auto" w:fill="FFFFFF"/>
        <w:autoSpaceDE/>
        <w:autoSpaceDN/>
        <w:spacing w:before="156" w:beforeLines="50" w:after="156" w:afterLines="50" w:line="360" w:lineRule="auto"/>
        <w:ind w:firstLine="482" w:firstLineChars="200"/>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二、本次投资建设项目基本情况</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1、项目名称：海发电子信息产业园项目（以实际备案项目名称为准）</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2、项目实施主体：深圳市光明海发投资建设有限公司</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3、项目建设内容：本项目为联想南方智能制造基地配套的专业化园区，建筑整体为创新智能化无人</w:t>
      </w:r>
      <w:r>
        <w:rPr>
          <w:rFonts w:hint="eastAsia" w:ascii="Times New Roman" w:hAnsi="Times New Roman" w:eastAsia="宋体" w:cs="Times New Roman"/>
          <w:color w:val="000000"/>
          <w:sz w:val="24"/>
          <w:szCs w:val="24"/>
        </w:rPr>
        <w:t>仓储、加工</w:t>
      </w:r>
      <w:r>
        <w:rPr>
          <w:rFonts w:ascii="Times New Roman" w:hAnsi="Times New Roman" w:eastAsia="宋体" w:cs="Times New Roman"/>
          <w:color w:val="000000"/>
          <w:sz w:val="24"/>
          <w:szCs w:val="24"/>
        </w:rPr>
        <w:t>一体化厂房</w:t>
      </w:r>
      <w:r>
        <w:rPr>
          <w:rFonts w:hint="eastAsia" w:ascii="Times New Roman" w:hAnsi="Times New Roman" w:eastAsia="宋体" w:cs="Times New Roman"/>
          <w:color w:val="000000"/>
          <w:sz w:val="24"/>
          <w:szCs w:val="24"/>
        </w:rPr>
        <w:t>，主体规划建设自动化生产厂房与自动化立体仓储及配套设施，总建筑面积约</w:t>
      </w:r>
      <w:r>
        <w:rPr>
          <w:rFonts w:ascii="Times New Roman" w:hAnsi="Times New Roman" w:eastAsia="宋体" w:cs="Times New Roman"/>
          <w:color w:val="000000"/>
          <w:sz w:val="24"/>
          <w:szCs w:val="24"/>
        </w:rPr>
        <w:t>100</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500平方米</w:t>
      </w:r>
      <w:bookmarkStart w:id="0" w:name="_Hlk109407861"/>
      <w:r>
        <w:rPr>
          <w:rFonts w:ascii="Times New Roman" w:hAnsi="Times New Roman" w:eastAsia="宋体" w:cs="Times New Roman"/>
          <w:color w:val="000000"/>
          <w:sz w:val="24"/>
          <w:szCs w:val="24"/>
        </w:rPr>
        <w:t>（项目具体方案仍在设计中，具体以实际报建方案为准）。</w:t>
      </w:r>
    </w:p>
    <w:bookmarkEnd w:id="0"/>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4、项目投资概算及资金来源：预计投资总额8.2亿元，</w:t>
      </w:r>
      <w:r>
        <w:rPr>
          <w:rFonts w:hint="eastAsia" w:ascii="Times New Roman" w:hAnsi="Times New Roman" w:eastAsia="宋体" w:cs="Times New Roman"/>
          <w:color w:val="000000"/>
          <w:sz w:val="24"/>
          <w:szCs w:val="24"/>
        </w:rPr>
        <w:t>公司投资金额为4</w:t>
      </w:r>
      <w:r>
        <w:rPr>
          <w:rFonts w:ascii="Times New Roman" w:hAnsi="Times New Roman" w:eastAsia="宋体" w:cs="Times New Roman"/>
          <w:color w:val="000000"/>
          <w:sz w:val="24"/>
          <w:szCs w:val="24"/>
        </w:rPr>
        <w:t>.02</w:t>
      </w:r>
      <w:r>
        <w:rPr>
          <w:rFonts w:hint="eastAsia" w:ascii="Times New Roman" w:hAnsi="Times New Roman" w:eastAsia="宋体" w:cs="Times New Roman"/>
          <w:color w:val="000000"/>
          <w:sz w:val="24"/>
          <w:szCs w:val="24"/>
        </w:rPr>
        <w:t>亿元，</w:t>
      </w:r>
      <w:r>
        <w:rPr>
          <w:rFonts w:ascii="Times New Roman" w:hAnsi="Times New Roman" w:eastAsia="宋体" w:cs="Times New Roman"/>
          <w:color w:val="000000"/>
          <w:sz w:val="24"/>
          <w:szCs w:val="24"/>
        </w:rPr>
        <w:t>由公司</w:t>
      </w:r>
      <w:r>
        <w:rPr>
          <w:rFonts w:hint="eastAsia" w:ascii="Times New Roman" w:hAnsi="Times New Roman" w:eastAsia="宋体" w:cs="Times New Roman"/>
          <w:color w:val="000000"/>
          <w:sz w:val="24"/>
          <w:szCs w:val="24"/>
        </w:rPr>
        <w:t>自有及</w:t>
      </w:r>
      <w:r>
        <w:rPr>
          <w:rFonts w:ascii="Times New Roman" w:hAnsi="Times New Roman" w:eastAsia="宋体" w:cs="Times New Roman"/>
          <w:color w:val="000000"/>
          <w:sz w:val="24"/>
          <w:szCs w:val="24"/>
        </w:rPr>
        <w:t>自筹资金等方式解决。</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5、建设周期：目前项目处于规划阶段，预计建设期36个月。</w:t>
      </w:r>
    </w:p>
    <w:p>
      <w:pPr>
        <w:widowControl/>
        <w:shd w:val="clear" w:color="auto" w:fill="FFFFFF"/>
        <w:autoSpaceDE/>
        <w:autoSpaceDN/>
        <w:spacing w:before="156" w:beforeLines="50" w:after="156" w:afterLines="50" w:line="360" w:lineRule="auto"/>
        <w:ind w:firstLine="482" w:firstLineChars="200"/>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三、投资目的和对公司的影响</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南方智能制造基地是</w:t>
      </w:r>
      <w:r>
        <w:rPr>
          <w:rFonts w:hint="eastAsia" w:ascii="Times New Roman" w:hAnsi="Times New Roman" w:eastAsia="宋体" w:cs="Times New Roman"/>
          <w:color w:val="000000"/>
          <w:sz w:val="24"/>
          <w:szCs w:val="24"/>
        </w:rPr>
        <w:t>光明区</w:t>
      </w:r>
      <w:r>
        <w:rPr>
          <w:rFonts w:ascii="Times New Roman" w:hAnsi="Times New Roman" w:eastAsia="宋体" w:cs="Times New Roman"/>
          <w:color w:val="000000"/>
          <w:sz w:val="24"/>
          <w:szCs w:val="24"/>
        </w:rPr>
        <w:t>围绕深圳</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20+8</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产业集群规划，推动</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8+5</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产业集群发展</w:t>
      </w:r>
      <w:r>
        <w:rPr>
          <w:rFonts w:hint="eastAsia" w:ascii="Times New Roman" w:hAnsi="Times New Roman" w:eastAsia="宋体" w:cs="Times New Roman"/>
          <w:color w:val="000000"/>
          <w:sz w:val="24"/>
          <w:szCs w:val="24"/>
        </w:rPr>
        <w:t>全力打造的重大产业项目之一，同时也是</w:t>
      </w:r>
      <w:r>
        <w:rPr>
          <w:rFonts w:ascii="Times New Roman" w:hAnsi="Times New Roman" w:eastAsia="宋体" w:cs="Times New Roman"/>
          <w:color w:val="000000"/>
          <w:sz w:val="24"/>
          <w:szCs w:val="24"/>
        </w:rPr>
        <w:t>联想集团生产复杂性最高的智能制造工厂</w:t>
      </w:r>
      <w:r>
        <w:rPr>
          <w:rFonts w:hint="eastAsia" w:ascii="Times New Roman" w:hAnsi="Times New Roman" w:eastAsia="宋体" w:cs="Times New Roman"/>
          <w:color w:val="000000"/>
          <w:sz w:val="24"/>
          <w:szCs w:val="24"/>
        </w:rPr>
        <w:t>之一，产品既包括传统业务同时也</w:t>
      </w:r>
      <w:r>
        <w:rPr>
          <w:rFonts w:ascii="Times New Roman" w:hAnsi="Times New Roman" w:eastAsia="宋体" w:cs="Times New Roman"/>
          <w:color w:val="000000"/>
          <w:sz w:val="24"/>
          <w:szCs w:val="24"/>
        </w:rPr>
        <w:t>承载孵化各类智能产品</w:t>
      </w:r>
      <w:r>
        <w:rPr>
          <w:rFonts w:hint="eastAsia" w:ascii="Times New Roman" w:hAnsi="Times New Roman" w:eastAsia="宋体" w:cs="Times New Roman"/>
          <w:color w:val="000000"/>
          <w:sz w:val="24"/>
          <w:szCs w:val="24"/>
        </w:rPr>
        <w:t>等新兴业务</w:t>
      </w:r>
      <w:r>
        <w:rPr>
          <w:rFonts w:ascii="Times New Roman" w:hAnsi="Times New Roman" w:eastAsia="宋体" w:cs="Times New Roman"/>
          <w:color w:val="000000"/>
          <w:sz w:val="24"/>
          <w:szCs w:val="24"/>
        </w:rPr>
        <w:t>。</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公司通过投资联想</w:t>
      </w:r>
      <w:r>
        <w:rPr>
          <w:rFonts w:ascii="Times New Roman" w:hAnsi="Times New Roman" w:eastAsia="宋体" w:cs="Times New Roman"/>
          <w:color w:val="000000"/>
          <w:sz w:val="24"/>
          <w:szCs w:val="24"/>
        </w:rPr>
        <w:t>南方智能制造基地</w:t>
      </w:r>
      <w:r>
        <w:rPr>
          <w:rFonts w:hint="eastAsia" w:ascii="Times New Roman" w:hAnsi="Times New Roman" w:eastAsia="宋体" w:cs="Times New Roman"/>
          <w:color w:val="000000"/>
          <w:sz w:val="24"/>
          <w:szCs w:val="24"/>
        </w:rPr>
        <w:t>配套的专业化园区，一方面</w:t>
      </w:r>
      <w:r>
        <w:rPr>
          <w:rFonts w:ascii="Times New Roman" w:hAnsi="Times New Roman" w:eastAsia="宋体" w:cs="Times New Roman"/>
          <w:color w:val="000000"/>
          <w:sz w:val="24"/>
          <w:szCs w:val="24"/>
        </w:rPr>
        <w:t>积累丰富的业务场景和经验，</w:t>
      </w:r>
      <w:r>
        <w:rPr>
          <w:rFonts w:hint="eastAsia" w:ascii="Times New Roman" w:hAnsi="Times New Roman" w:eastAsia="宋体" w:cs="Times New Roman"/>
          <w:color w:val="000000"/>
          <w:sz w:val="24"/>
          <w:szCs w:val="24"/>
        </w:rPr>
        <w:t>通过建设</w:t>
      </w:r>
      <w:r>
        <w:rPr>
          <w:rFonts w:ascii="Times New Roman" w:hAnsi="Times New Roman" w:eastAsia="宋体" w:cs="Times New Roman"/>
          <w:color w:val="000000"/>
          <w:sz w:val="24"/>
          <w:szCs w:val="24"/>
        </w:rPr>
        <w:t>创新智能化无人生产一体化厂房</w:t>
      </w:r>
      <w:r>
        <w:rPr>
          <w:rFonts w:hint="eastAsia" w:ascii="Times New Roman" w:hAnsi="Times New Roman" w:eastAsia="宋体" w:cs="Times New Roman"/>
          <w:color w:val="000000"/>
          <w:sz w:val="24"/>
          <w:szCs w:val="24"/>
        </w:rPr>
        <w:t>，</w:t>
      </w:r>
      <w:r>
        <w:rPr>
          <w:rFonts w:ascii="Times New Roman" w:hAnsi="Times New Roman" w:eastAsia="宋体" w:cs="Times New Roman"/>
          <w:color w:val="000000"/>
          <w:sz w:val="24"/>
          <w:szCs w:val="24"/>
        </w:rPr>
        <w:t>极大提升联想制造基地的效率，</w:t>
      </w:r>
      <w:r>
        <w:rPr>
          <w:rFonts w:hint="eastAsia" w:ascii="Times New Roman" w:hAnsi="Times New Roman" w:eastAsia="宋体" w:cs="Times New Roman"/>
          <w:color w:val="000000"/>
          <w:sz w:val="24"/>
          <w:szCs w:val="24"/>
        </w:rPr>
        <w:t>另一方面</w:t>
      </w:r>
      <w:r>
        <w:rPr>
          <w:rFonts w:ascii="Times New Roman" w:hAnsi="Times New Roman" w:eastAsia="宋体" w:cs="Times New Roman"/>
          <w:color w:val="000000"/>
          <w:sz w:val="24"/>
          <w:szCs w:val="24"/>
        </w:rPr>
        <w:t>也</w:t>
      </w:r>
      <w:r>
        <w:rPr>
          <w:rFonts w:hint="eastAsia" w:ascii="Times New Roman" w:hAnsi="Times New Roman" w:eastAsia="宋体" w:cs="Times New Roman"/>
          <w:color w:val="000000"/>
          <w:sz w:val="24"/>
          <w:szCs w:val="24"/>
        </w:rPr>
        <w:t>依托与</w:t>
      </w:r>
      <w:r>
        <w:rPr>
          <w:rFonts w:ascii="Times New Roman" w:hAnsi="Times New Roman" w:eastAsia="宋体" w:cs="Times New Roman"/>
          <w:color w:val="000000"/>
          <w:sz w:val="24"/>
          <w:szCs w:val="24"/>
        </w:rPr>
        <w:t>联想南方智能制造基地联动</w:t>
      </w:r>
      <w:r>
        <w:rPr>
          <w:rFonts w:hint="eastAsia" w:ascii="Times New Roman" w:hAnsi="Times New Roman" w:eastAsia="宋体" w:cs="Times New Roman"/>
          <w:color w:val="000000"/>
          <w:sz w:val="24"/>
          <w:szCs w:val="24"/>
        </w:rPr>
        <w:t>效应，</w:t>
      </w:r>
      <w:r>
        <w:rPr>
          <w:rFonts w:ascii="Times New Roman" w:hAnsi="Times New Roman" w:eastAsia="宋体" w:cs="Times New Roman"/>
          <w:color w:val="000000"/>
          <w:sz w:val="24"/>
          <w:szCs w:val="24"/>
        </w:rPr>
        <w:t>为周边其它先进制造业客户提供专业的供应链</w:t>
      </w:r>
      <w:r>
        <w:rPr>
          <w:rFonts w:hint="eastAsia" w:ascii="Times New Roman" w:hAnsi="Times New Roman" w:eastAsia="宋体" w:cs="Times New Roman"/>
          <w:color w:val="000000"/>
          <w:sz w:val="24"/>
          <w:szCs w:val="24"/>
        </w:rPr>
        <w:t>配套</w:t>
      </w:r>
      <w:r>
        <w:rPr>
          <w:rFonts w:ascii="Times New Roman" w:hAnsi="Times New Roman" w:eastAsia="宋体" w:cs="Times New Roman"/>
          <w:color w:val="000000"/>
          <w:sz w:val="24"/>
          <w:szCs w:val="24"/>
        </w:rPr>
        <w:t>服务。</w:t>
      </w:r>
    </w:p>
    <w:p>
      <w:pPr>
        <w:widowControl/>
        <w:shd w:val="clear" w:color="auto" w:fill="FFFFFF"/>
        <w:autoSpaceDE/>
        <w:autoSpaceDN/>
        <w:spacing w:line="360" w:lineRule="auto"/>
        <w:ind w:firstLine="480" w:firstLineChars="20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本项目紧邻联想南方智能制造基地，其建成后可作为生产、仓储车间，为联想南方智能制造基地提供充足的使用空间保障，极大限度解决其目前仓储空间严重不足的窘迫现象，从而促进其完成既定产能产值计划，为片区尖端生产提供保障。</w:t>
      </w:r>
    </w:p>
    <w:p>
      <w:pPr>
        <w:widowControl/>
        <w:shd w:val="clear" w:color="auto" w:fill="FFFFFF"/>
        <w:autoSpaceDE/>
        <w:autoSpaceDN/>
        <w:spacing w:line="360" w:lineRule="auto"/>
        <w:ind w:firstLine="480" w:firstLineChars="200"/>
        <w:jc w:val="both"/>
        <w:rPr>
          <w:rFonts w:hint="eastAsia"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海发电子信息产业园</w:t>
      </w:r>
      <w:r>
        <w:rPr>
          <w:rFonts w:hint="eastAsia" w:ascii="Times New Roman" w:hAnsi="Times New Roman" w:eastAsia="宋体" w:cs="Times New Roman"/>
          <w:color w:val="000000"/>
          <w:sz w:val="24"/>
          <w:szCs w:val="24"/>
        </w:rPr>
        <w:t>项目充分考虑了智能化物流（自动化储存、</w:t>
      </w:r>
      <w:r>
        <w:rPr>
          <w:rFonts w:hint="eastAsia" w:ascii="Times New Roman" w:hAnsi="Times New Roman" w:eastAsia="宋体" w:cs="Times New Roman"/>
          <w:color w:val="000000"/>
          <w:sz w:val="24"/>
          <w:szCs w:val="24"/>
        </w:rPr>
        <w:t>分拣、</w:t>
      </w:r>
      <w:r>
        <w:rPr>
          <w:rFonts w:hint="eastAsia" w:ascii="Times New Roman" w:hAnsi="Times New Roman" w:eastAsia="宋体" w:cs="Times New Roman"/>
          <w:color w:val="000000"/>
          <w:sz w:val="24"/>
          <w:szCs w:val="24"/>
        </w:rPr>
        <w:t>加工等）的需求，提高仓储管理与物流配送的效率，降低综合物流成本</w:t>
      </w:r>
      <w:r>
        <w:rPr>
          <w:rFonts w:hint="eastAsia" w:ascii="Times New Roman" w:hAnsi="Times New Roman" w:eastAsia="宋体" w:cs="Times New Roman"/>
          <w:color w:val="000000"/>
          <w:sz w:val="24"/>
          <w:szCs w:val="24"/>
        </w:rPr>
        <w:t>。项目建成后将满足智能化生产及存储的合理性和适用性</w:t>
      </w:r>
      <w:r>
        <w:rPr>
          <w:rFonts w:hint="eastAsia" w:ascii="Times New Roman" w:hAnsi="Times New Roman" w:eastAsia="宋体" w:cs="Times New Roman"/>
          <w:color w:val="000000"/>
          <w:sz w:val="24"/>
          <w:szCs w:val="24"/>
        </w:rPr>
        <w:t>，与制造业深度融合是公司的发展战略，持续创新的服务将为公司发展贡献新的业务增长点。</w:t>
      </w:r>
    </w:p>
    <w:p>
      <w:pPr>
        <w:widowControl/>
        <w:shd w:val="clear" w:color="auto" w:fill="FFFFFF"/>
        <w:autoSpaceDE/>
        <w:autoSpaceDN/>
        <w:spacing w:before="156" w:beforeLines="50" w:after="156" w:afterLines="50" w:line="360" w:lineRule="auto"/>
        <w:ind w:firstLine="482" w:firstLineChars="200"/>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四、风险提示</w:t>
      </w:r>
      <w:bookmarkStart w:id="1" w:name="_GoBack"/>
      <w:bookmarkEnd w:id="1"/>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1、如因国家或地方有关政策调整、项目审批等实施条件发生变化，该项目的实施可能存在变更、延期、中止或终止的风险，存在不确定性风险。</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2、本次投资涉及的项目投资金额、建设周期以及实施进度尚存不确定性。</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3、本次投资还需经</w:t>
      </w:r>
      <w:r>
        <w:rPr>
          <w:rFonts w:ascii="Times New Roman" w:hAnsi="Times New Roman" w:eastAsia="宋体" w:cs="Times New Roman"/>
          <w:color w:val="000000"/>
          <w:sz w:val="24"/>
          <w:szCs w:val="24"/>
        </w:rPr>
        <w:t>深圳市光明海发投资建设有限公司</w:t>
      </w:r>
      <w:r>
        <w:rPr>
          <w:rFonts w:hint="eastAsia" w:ascii="Times New Roman" w:hAnsi="Times New Roman" w:eastAsia="宋体" w:cs="Times New Roman"/>
          <w:color w:val="000000"/>
          <w:sz w:val="24"/>
          <w:szCs w:val="24"/>
        </w:rPr>
        <w:t>股东会、深圳市光明区国资局审议通过方可实施，</w:t>
      </w:r>
      <w:r>
        <w:rPr>
          <w:rFonts w:ascii="Times New Roman" w:hAnsi="Times New Roman" w:eastAsia="宋体" w:cs="Times New Roman"/>
          <w:color w:val="000000"/>
          <w:sz w:val="24"/>
          <w:szCs w:val="24"/>
        </w:rPr>
        <w:t>存在不确定性风险。</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4、敬请广大投资者谨慎决策，注意投资风险。</w:t>
      </w:r>
    </w:p>
    <w:p>
      <w:pPr>
        <w:widowControl/>
        <w:shd w:val="clear" w:color="auto" w:fill="FFFFFF"/>
        <w:autoSpaceDE/>
        <w:autoSpaceDN/>
        <w:spacing w:before="156" w:beforeLines="50" w:after="156" w:afterLines="50" w:line="360" w:lineRule="auto"/>
        <w:ind w:firstLine="482" w:firstLineChars="200"/>
        <w:rPr>
          <w:rFonts w:ascii="Times New Roman" w:hAnsi="Times New Roman" w:eastAsia="宋体" w:cs="Times New Roman"/>
          <w:b/>
          <w:bCs/>
          <w:color w:val="000000"/>
          <w:sz w:val="24"/>
          <w:szCs w:val="24"/>
        </w:rPr>
      </w:pPr>
      <w:r>
        <w:rPr>
          <w:rFonts w:ascii="Times New Roman" w:hAnsi="Times New Roman" w:eastAsia="宋体" w:cs="Times New Roman"/>
          <w:b/>
          <w:bCs/>
          <w:color w:val="000000"/>
          <w:sz w:val="24"/>
          <w:szCs w:val="24"/>
        </w:rPr>
        <w:t>五、备查文件</w:t>
      </w:r>
    </w:p>
    <w:p>
      <w:pPr>
        <w:widowControl/>
        <w:shd w:val="clear" w:color="auto" w:fill="FFFFFF"/>
        <w:autoSpaceDE/>
        <w:autoSpaceDN/>
        <w:spacing w:line="360" w:lineRule="auto"/>
        <w:ind w:firstLine="480" w:firstLineChars="200"/>
        <w:jc w:val="both"/>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第三届董事会第九次会议决议。</w:t>
      </w:r>
    </w:p>
    <w:p>
      <w:pPr>
        <w:pStyle w:val="5"/>
        <w:spacing w:before="156" w:beforeLines="50" w:after="156" w:afterLines="50" w:line="360" w:lineRule="auto"/>
        <w:ind w:left="0" w:right="85" w:firstLine="480" w:firstLineChars="200"/>
        <w:jc w:val="right"/>
        <w:rPr>
          <w:rFonts w:ascii="Times New Roman" w:hAnsi="Times New Roman" w:eastAsia="宋体" w:cs="Times New Roman"/>
        </w:rPr>
      </w:pPr>
    </w:p>
    <w:p>
      <w:pPr>
        <w:pStyle w:val="5"/>
        <w:spacing w:before="156" w:beforeLines="50" w:after="156" w:afterLines="50" w:line="360" w:lineRule="auto"/>
        <w:ind w:left="0" w:right="85" w:firstLine="482" w:firstLineChars="200"/>
        <w:jc w:val="right"/>
        <w:rPr>
          <w:rFonts w:ascii="Times New Roman" w:hAnsi="Times New Roman" w:eastAsia="宋体" w:cs="Times New Roman"/>
          <w:b/>
          <w:bCs/>
        </w:rPr>
      </w:pPr>
      <w:r>
        <w:rPr>
          <w:rFonts w:ascii="Times New Roman" w:hAnsi="Times New Roman" w:eastAsia="宋体" w:cs="Times New Roman"/>
          <w:b/>
          <w:bCs/>
        </w:rPr>
        <w:t>江苏海晨物流股份有限公司董事会</w:t>
      </w:r>
    </w:p>
    <w:p>
      <w:pPr>
        <w:pStyle w:val="5"/>
        <w:spacing w:before="156" w:beforeLines="50" w:after="156" w:afterLines="50" w:line="360" w:lineRule="auto"/>
        <w:ind w:left="0" w:right="325" w:firstLine="482" w:firstLineChars="200"/>
        <w:jc w:val="right"/>
        <w:rPr>
          <w:rFonts w:ascii="Times New Roman" w:hAnsi="Times New Roman" w:eastAsia="宋体" w:cs="Times New Roman"/>
          <w:b/>
          <w:bCs/>
        </w:rPr>
      </w:pPr>
      <w:r>
        <w:rPr>
          <w:rFonts w:ascii="Times New Roman" w:hAnsi="Times New Roman" w:eastAsia="宋体" w:cs="Times New Roman"/>
          <w:b/>
          <w:bCs/>
        </w:rPr>
        <w:t>2023年4月22日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Black">
    <w:altName w:val="Calibri"/>
    <w:panose1 w:val="00000000000000000000"/>
    <w:charset w:val="00"/>
    <w:family w:val="swiss"/>
    <w:pitch w:val="default"/>
    <w:sig w:usb0="00000000" w:usb1="00000000" w:usb2="00000000" w:usb3="00000000" w:csb0="00000001" w:csb1="00000000"/>
  </w:font>
  <w:font w:name="Noto Sans CJK JP Medium">
    <w:altName w:val="Calibri"/>
    <w:panose1 w:val="00000000000000000000"/>
    <w:charset w:val="00"/>
    <w:family w:val="swiss"/>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597647"/>
    </w:sdtPr>
    <w:sdtContent>
      <w:sdt>
        <w:sdtPr>
          <w:id w:val="1728636285"/>
        </w:sdtPr>
        <w:sdtContent>
          <w:p>
            <w:pPr>
              <w:pStyle w:val="7"/>
              <w:jc w:val="center"/>
            </w:pPr>
            <w:r>
              <w:rPr>
                <w:rFonts w:ascii="Times New Roman" w:hAnsi="Times New Roman" w:cs="Times New Roman"/>
                <w:sz w:val="21"/>
                <w:szCs w:val="21"/>
                <w:lang w:val="zh-CN"/>
              </w:rPr>
              <w:t xml:space="preserve"> </w:t>
            </w: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PAGE</w:instrText>
            </w:r>
            <w:r>
              <w:rPr>
                <w:rFonts w:ascii="Times New Roman" w:hAnsi="Times New Roman" w:cs="Times New Roman"/>
                <w:b/>
                <w:bCs/>
                <w:sz w:val="21"/>
                <w:szCs w:val="21"/>
              </w:rPr>
              <w:fldChar w:fldCharType="separate"/>
            </w:r>
            <w:r>
              <w:rPr>
                <w:rFonts w:ascii="Times New Roman" w:hAnsi="Times New Roman" w:cs="Times New Roman"/>
                <w:b/>
                <w:bCs/>
                <w:sz w:val="21"/>
                <w:szCs w:val="21"/>
              </w:rPr>
              <w:t>10</w:t>
            </w:r>
            <w:r>
              <w:rPr>
                <w:rFonts w:ascii="Times New Roman" w:hAnsi="Times New Roman" w:cs="Times New Roman"/>
                <w:b/>
                <w:bCs/>
                <w:sz w:val="21"/>
                <w:szCs w:val="21"/>
              </w:rPr>
              <w:fldChar w:fldCharType="end"/>
            </w:r>
            <w:r>
              <w:rPr>
                <w:rFonts w:ascii="Times New Roman" w:hAnsi="Times New Roman" w:cs="Times New Roman"/>
                <w:sz w:val="21"/>
                <w:szCs w:val="21"/>
                <w:lang w:val="zh-CN"/>
              </w:rPr>
              <w:t xml:space="preserve"> / </w:t>
            </w: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NUMPAGES</w:instrText>
            </w:r>
            <w:r>
              <w:rPr>
                <w:rFonts w:ascii="Times New Roman" w:hAnsi="Times New Roman" w:cs="Times New Roman"/>
                <w:b/>
                <w:bCs/>
                <w:sz w:val="21"/>
                <w:szCs w:val="21"/>
              </w:rPr>
              <w:fldChar w:fldCharType="separate"/>
            </w:r>
            <w:r>
              <w:rPr>
                <w:rFonts w:ascii="Times New Roman" w:hAnsi="Times New Roman" w:cs="Times New Roman"/>
                <w:b/>
                <w:bCs/>
                <w:sz w:val="21"/>
                <w:szCs w:val="21"/>
              </w:rPr>
              <w:t>10</w:t>
            </w:r>
            <w:r>
              <w:rPr>
                <w:rFonts w:ascii="Times New Roman" w:hAnsi="Times New Roman" w:cs="Times New Roman"/>
                <w:b/>
                <w:bCs/>
                <w:sz w:val="21"/>
                <w:szCs w:val="21"/>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ZGFhMzBkZTM5OTRjMmU4YmRkOTYxZmY5OWFkODMifQ=="/>
  </w:docVars>
  <w:rsids>
    <w:rsidRoot w:val="00234C53"/>
    <w:rsid w:val="0000320C"/>
    <w:rsid w:val="00006D7D"/>
    <w:rsid w:val="0001164D"/>
    <w:rsid w:val="00016717"/>
    <w:rsid w:val="000275C1"/>
    <w:rsid w:val="000307A8"/>
    <w:rsid w:val="00032615"/>
    <w:rsid w:val="00034C35"/>
    <w:rsid w:val="000365E2"/>
    <w:rsid w:val="00044CA6"/>
    <w:rsid w:val="00051116"/>
    <w:rsid w:val="00054455"/>
    <w:rsid w:val="000554B0"/>
    <w:rsid w:val="00057734"/>
    <w:rsid w:val="000612AE"/>
    <w:rsid w:val="000938CC"/>
    <w:rsid w:val="0009577D"/>
    <w:rsid w:val="00095A8E"/>
    <w:rsid w:val="00096137"/>
    <w:rsid w:val="000C145B"/>
    <w:rsid w:val="000C34B8"/>
    <w:rsid w:val="000C5BEC"/>
    <w:rsid w:val="000D1E75"/>
    <w:rsid w:val="000D3984"/>
    <w:rsid w:val="000D6F8C"/>
    <w:rsid w:val="000E19B9"/>
    <w:rsid w:val="000F5E30"/>
    <w:rsid w:val="001072E4"/>
    <w:rsid w:val="00112B08"/>
    <w:rsid w:val="00114D04"/>
    <w:rsid w:val="001301D5"/>
    <w:rsid w:val="00133892"/>
    <w:rsid w:val="00135672"/>
    <w:rsid w:val="0013683E"/>
    <w:rsid w:val="00137606"/>
    <w:rsid w:val="00151569"/>
    <w:rsid w:val="00155F14"/>
    <w:rsid w:val="00161C82"/>
    <w:rsid w:val="00163834"/>
    <w:rsid w:val="0017079C"/>
    <w:rsid w:val="00171A1B"/>
    <w:rsid w:val="00194965"/>
    <w:rsid w:val="001A0B99"/>
    <w:rsid w:val="001A0E0E"/>
    <w:rsid w:val="001A3C13"/>
    <w:rsid w:val="001B0C03"/>
    <w:rsid w:val="001B15C5"/>
    <w:rsid w:val="001C5ECA"/>
    <w:rsid w:val="001C6CCC"/>
    <w:rsid w:val="001D37E3"/>
    <w:rsid w:val="001D7469"/>
    <w:rsid w:val="001E0ADA"/>
    <w:rsid w:val="001E3F70"/>
    <w:rsid w:val="001F2D39"/>
    <w:rsid w:val="001F2F0B"/>
    <w:rsid w:val="001F50EE"/>
    <w:rsid w:val="001F578D"/>
    <w:rsid w:val="002037A6"/>
    <w:rsid w:val="00206A33"/>
    <w:rsid w:val="00210ADA"/>
    <w:rsid w:val="00212316"/>
    <w:rsid w:val="00213B3B"/>
    <w:rsid w:val="00215461"/>
    <w:rsid w:val="00215E27"/>
    <w:rsid w:val="00217A27"/>
    <w:rsid w:val="00217B63"/>
    <w:rsid w:val="00217FB7"/>
    <w:rsid w:val="00220A28"/>
    <w:rsid w:val="00222AFD"/>
    <w:rsid w:val="002274BA"/>
    <w:rsid w:val="00231523"/>
    <w:rsid w:val="00234C53"/>
    <w:rsid w:val="00235911"/>
    <w:rsid w:val="002539CF"/>
    <w:rsid w:val="00254D08"/>
    <w:rsid w:val="002606B5"/>
    <w:rsid w:val="00261E9F"/>
    <w:rsid w:val="0026545F"/>
    <w:rsid w:val="00265B9B"/>
    <w:rsid w:val="00272F32"/>
    <w:rsid w:val="00283CDD"/>
    <w:rsid w:val="002907D7"/>
    <w:rsid w:val="00293754"/>
    <w:rsid w:val="00296268"/>
    <w:rsid w:val="00296450"/>
    <w:rsid w:val="00296C6C"/>
    <w:rsid w:val="002B2D17"/>
    <w:rsid w:val="002B798B"/>
    <w:rsid w:val="002C03D5"/>
    <w:rsid w:val="002C3F2A"/>
    <w:rsid w:val="002C583B"/>
    <w:rsid w:val="002D08C6"/>
    <w:rsid w:val="002D7130"/>
    <w:rsid w:val="002E1546"/>
    <w:rsid w:val="002F020A"/>
    <w:rsid w:val="002F59FF"/>
    <w:rsid w:val="002F5BB6"/>
    <w:rsid w:val="002F5EC0"/>
    <w:rsid w:val="002F5FE0"/>
    <w:rsid w:val="003010FA"/>
    <w:rsid w:val="003063F5"/>
    <w:rsid w:val="00311E65"/>
    <w:rsid w:val="003167D7"/>
    <w:rsid w:val="0031753B"/>
    <w:rsid w:val="00320310"/>
    <w:rsid w:val="00320FDB"/>
    <w:rsid w:val="00325C5C"/>
    <w:rsid w:val="0032735F"/>
    <w:rsid w:val="00336C49"/>
    <w:rsid w:val="0033792D"/>
    <w:rsid w:val="0034019C"/>
    <w:rsid w:val="00342091"/>
    <w:rsid w:val="003422FD"/>
    <w:rsid w:val="003449CF"/>
    <w:rsid w:val="0035167E"/>
    <w:rsid w:val="00351693"/>
    <w:rsid w:val="0035583E"/>
    <w:rsid w:val="003613D7"/>
    <w:rsid w:val="00364386"/>
    <w:rsid w:val="00366DA1"/>
    <w:rsid w:val="0037150E"/>
    <w:rsid w:val="00371AF8"/>
    <w:rsid w:val="00372E24"/>
    <w:rsid w:val="003745B8"/>
    <w:rsid w:val="00375C19"/>
    <w:rsid w:val="00377F69"/>
    <w:rsid w:val="00383615"/>
    <w:rsid w:val="003878C3"/>
    <w:rsid w:val="00387ADA"/>
    <w:rsid w:val="00390269"/>
    <w:rsid w:val="00395ECB"/>
    <w:rsid w:val="003A63E2"/>
    <w:rsid w:val="003A6A5A"/>
    <w:rsid w:val="003B47A8"/>
    <w:rsid w:val="003C5119"/>
    <w:rsid w:val="003C6C77"/>
    <w:rsid w:val="003D2106"/>
    <w:rsid w:val="003D2611"/>
    <w:rsid w:val="003D3C7F"/>
    <w:rsid w:val="003D611F"/>
    <w:rsid w:val="003D7583"/>
    <w:rsid w:val="003E7099"/>
    <w:rsid w:val="003E7D6A"/>
    <w:rsid w:val="003F0545"/>
    <w:rsid w:val="003F4C87"/>
    <w:rsid w:val="003F570E"/>
    <w:rsid w:val="0041014C"/>
    <w:rsid w:val="00412061"/>
    <w:rsid w:val="00416109"/>
    <w:rsid w:val="00422B9B"/>
    <w:rsid w:val="004244F9"/>
    <w:rsid w:val="00426424"/>
    <w:rsid w:val="004413A5"/>
    <w:rsid w:val="0044304E"/>
    <w:rsid w:val="004455EF"/>
    <w:rsid w:val="00463139"/>
    <w:rsid w:val="0047131F"/>
    <w:rsid w:val="004718A3"/>
    <w:rsid w:val="00472FFD"/>
    <w:rsid w:val="004746F7"/>
    <w:rsid w:val="00493083"/>
    <w:rsid w:val="00494A89"/>
    <w:rsid w:val="004B0450"/>
    <w:rsid w:val="004B1E6C"/>
    <w:rsid w:val="004B4391"/>
    <w:rsid w:val="004B48D7"/>
    <w:rsid w:val="004B6191"/>
    <w:rsid w:val="004C1607"/>
    <w:rsid w:val="004C1DBA"/>
    <w:rsid w:val="004C5ADD"/>
    <w:rsid w:val="004C7816"/>
    <w:rsid w:val="004D6FCE"/>
    <w:rsid w:val="004E2FE6"/>
    <w:rsid w:val="004E43E0"/>
    <w:rsid w:val="004E5B2A"/>
    <w:rsid w:val="004F3264"/>
    <w:rsid w:val="005122C5"/>
    <w:rsid w:val="00514395"/>
    <w:rsid w:val="005150C5"/>
    <w:rsid w:val="0051533F"/>
    <w:rsid w:val="0052411F"/>
    <w:rsid w:val="005252D4"/>
    <w:rsid w:val="00530C88"/>
    <w:rsid w:val="00541E30"/>
    <w:rsid w:val="00546A94"/>
    <w:rsid w:val="005504AA"/>
    <w:rsid w:val="005519BB"/>
    <w:rsid w:val="0055486A"/>
    <w:rsid w:val="0055505D"/>
    <w:rsid w:val="005759BF"/>
    <w:rsid w:val="005821EE"/>
    <w:rsid w:val="005827C8"/>
    <w:rsid w:val="005841C9"/>
    <w:rsid w:val="00586CA8"/>
    <w:rsid w:val="00593274"/>
    <w:rsid w:val="00597D78"/>
    <w:rsid w:val="005A624E"/>
    <w:rsid w:val="005B1B0F"/>
    <w:rsid w:val="005B30AB"/>
    <w:rsid w:val="005C2860"/>
    <w:rsid w:val="005C44B8"/>
    <w:rsid w:val="005C4D55"/>
    <w:rsid w:val="005D0E74"/>
    <w:rsid w:val="005D3A85"/>
    <w:rsid w:val="005E07F3"/>
    <w:rsid w:val="005E1BAF"/>
    <w:rsid w:val="005F0850"/>
    <w:rsid w:val="005F2C07"/>
    <w:rsid w:val="005F4AA5"/>
    <w:rsid w:val="0060268B"/>
    <w:rsid w:val="00603185"/>
    <w:rsid w:val="00620082"/>
    <w:rsid w:val="006227FD"/>
    <w:rsid w:val="00632910"/>
    <w:rsid w:val="00636E76"/>
    <w:rsid w:val="00645503"/>
    <w:rsid w:val="00647932"/>
    <w:rsid w:val="0065355A"/>
    <w:rsid w:val="00655A66"/>
    <w:rsid w:val="00657B62"/>
    <w:rsid w:val="0067733B"/>
    <w:rsid w:val="00693052"/>
    <w:rsid w:val="00696E52"/>
    <w:rsid w:val="006A3578"/>
    <w:rsid w:val="006B246E"/>
    <w:rsid w:val="006B482B"/>
    <w:rsid w:val="006C0B4D"/>
    <w:rsid w:val="006D0EA3"/>
    <w:rsid w:val="006D2407"/>
    <w:rsid w:val="006E032A"/>
    <w:rsid w:val="006E194E"/>
    <w:rsid w:val="006E1DB1"/>
    <w:rsid w:val="006E22D5"/>
    <w:rsid w:val="006E2F31"/>
    <w:rsid w:val="006E3F04"/>
    <w:rsid w:val="006F2316"/>
    <w:rsid w:val="006F2D73"/>
    <w:rsid w:val="006F6164"/>
    <w:rsid w:val="00700F28"/>
    <w:rsid w:val="0070285E"/>
    <w:rsid w:val="00710864"/>
    <w:rsid w:val="00711A2A"/>
    <w:rsid w:val="00716581"/>
    <w:rsid w:val="0071723B"/>
    <w:rsid w:val="00720755"/>
    <w:rsid w:val="00721ED9"/>
    <w:rsid w:val="007221BA"/>
    <w:rsid w:val="0072279D"/>
    <w:rsid w:val="007253E8"/>
    <w:rsid w:val="0073086B"/>
    <w:rsid w:val="00736AE2"/>
    <w:rsid w:val="007402A8"/>
    <w:rsid w:val="00742B34"/>
    <w:rsid w:val="00742D6D"/>
    <w:rsid w:val="00743FFD"/>
    <w:rsid w:val="00757C4F"/>
    <w:rsid w:val="007612C1"/>
    <w:rsid w:val="007661A4"/>
    <w:rsid w:val="00782371"/>
    <w:rsid w:val="0078381B"/>
    <w:rsid w:val="00786F69"/>
    <w:rsid w:val="007945CE"/>
    <w:rsid w:val="007A1868"/>
    <w:rsid w:val="007B18D4"/>
    <w:rsid w:val="007B225A"/>
    <w:rsid w:val="007C4A7F"/>
    <w:rsid w:val="007D2F41"/>
    <w:rsid w:val="007D3A6F"/>
    <w:rsid w:val="007E0E72"/>
    <w:rsid w:val="007E11FB"/>
    <w:rsid w:val="007E13A4"/>
    <w:rsid w:val="007E48EE"/>
    <w:rsid w:val="007E76BF"/>
    <w:rsid w:val="007F1880"/>
    <w:rsid w:val="00803520"/>
    <w:rsid w:val="00803E8C"/>
    <w:rsid w:val="0080452A"/>
    <w:rsid w:val="00804A93"/>
    <w:rsid w:val="00820AC8"/>
    <w:rsid w:val="00821833"/>
    <w:rsid w:val="0082456C"/>
    <w:rsid w:val="00836883"/>
    <w:rsid w:val="00842350"/>
    <w:rsid w:val="00856967"/>
    <w:rsid w:val="0087157A"/>
    <w:rsid w:val="00880265"/>
    <w:rsid w:val="008820D7"/>
    <w:rsid w:val="00894067"/>
    <w:rsid w:val="00896A2F"/>
    <w:rsid w:val="008A18FC"/>
    <w:rsid w:val="008A3CCA"/>
    <w:rsid w:val="008A4B3D"/>
    <w:rsid w:val="008B794D"/>
    <w:rsid w:val="008C61DF"/>
    <w:rsid w:val="008D3CEC"/>
    <w:rsid w:val="008D6667"/>
    <w:rsid w:val="008E044E"/>
    <w:rsid w:val="008E44BA"/>
    <w:rsid w:val="008F40D8"/>
    <w:rsid w:val="008F474C"/>
    <w:rsid w:val="00900B7F"/>
    <w:rsid w:val="009079E5"/>
    <w:rsid w:val="00913294"/>
    <w:rsid w:val="009362DE"/>
    <w:rsid w:val="00944249"/>
    <w:rsid w:val="009449FB"/>
    <w:rsid w:val="00944EE7"/>
    <w:rsid w:val="00953738"/>
    <w:rsid w:val="00954931"/>
    <w:rsid w:val="00956A86"/>
    <w:rsid w:val="00960B81"/>
    <w:rsid w:val="009641A0"/>
    <w:rsid w:val="00967A8C"/>
    <w:rsid w:val="00971837"/>
    <w:rsid w:val="009732B1"/>
    <w:rsid w:val="00980B06"/>
    <w:rsid w:val="00981031"/>
    <w:rsid w:val="009905C0"/>
    <w:rsid w:val="009971C8"/>
    <w:rsid w:val="009A0AAD"/>
    <w:rsid w:val="009A1283"/>
    <w:rsid w:val="009E472C"/>
    <w:rsid w:val="009F3B92"/>
    <w:rsid w:val="00A02F75"/>
    <w:rsid w:val="00A03BE4"/>
    <w:rsid w:val="00A05A19"/>
    <w:rsid w:val="00A101D4"/>
    <w:rsid w:val="00A26F42"/>
    <w:rsid w:val="00A33259"/>
    <w:rsid w:val="00A35AE8"/>
    <w:rsid w:val="00A36801"/>
    <w:rsid w:val="00A42877"/>
    <w:rsid w:val="00A437FC"/>
    <w:rsid w:val="00A5421D"/>
    <w:rsid w:val="00A57058"/>
    <w:rsid w:val="00A71554"/>
    <w:rsid w:val="00A72BCA"/>
    <w:rsid w:val="00A84091"/>
    <w:rsid w:val="00A84F6C"/>
    <w:rsid w:val="00A913F1"/>
    <w:rsid w:val="00A91B00"/>
    <w:rsid w:val="00A95C7E"/>
    <w:rsid w:val="00A9616E"/>
    <w:rsid w:val="00AA0C2A"/>
    <w:rsid w:val="00AB009D"/>
    <w:rsid w:val="00AC1945"/>
    <w:rsid w:val="00AD30F6"/>
    <w:rsid w:val="00AD5927"/>
    <w:rsid w:val="00AD6681"/>
    <w:rsid w:val="00AD797C"/>
    <w:rsid w:val="00AE020B"/>
    <w:rsid w:val="00AE08F4"/>
    <w:rsid w:val="00AE14FC"/>
    <w:rsid w:val="00AE1C80"/>
    <w:rsid w:val="00AE7167"/>
    <w:rsid w:val="00AE74BF"/>
    <w:rsid w:val="00AF0089"/>
    <w:rsid w:val="00AF5485"/>
    <w:rsid w:val="00B00D21"/>
    <w:rsid w:val="00B1003B"/>
    <w:rsid w:val="00B125EB"/>
    <w:rsid w:val="00B14D69"/>
    <w:rsid w:val="00B16D40"/>
    <w:rsid w:val="00B206E8"/>
    <w:rsid w:val="00B2455A"/>
    <w:rsid w:val="00B34E78"/>
    <w:rsid w:val="00B41A0F"/>
    <w:rsid w:val="00B47BB5"/>
    <w:rsid w:val="00B54D86"/>
    <w:rsid w:val="00B725E0"/>
    <w:rsid w:val="00B76FDF"/>
    <w:rsid w:val="00B7784C"/>
    <w:rsid w:val="00B820DE"/>
    <w:rsid w:val="00B82E29"/>
    <w:rsid w:val="00B877C6"/>
    <w:rsid w:val="00B9757A"/>
    <w:rsid w:val="00BA54B7"/>
    <w:rsid w:val="00BB2721"/>
    <w:rsid w:val="00BB4CEA"/>
    <w:rsid w:val="00BB5DD6"/>
    <w:rsid w:val="00BC1B9E"/>
    <w:rsid w:val="00BC4D2A"/>
    <w:rsid w:val="00BD3BBB"/>
    <w:rsid w:val="00BE21A6"/>
    <w:rsid w:val="00BE2913"/>
    <w:rsid w:val="00BE3B23"/>
    <w:rsid w:val="00BE4FA0"/>
    <w:rsid w:val="00BF04E6"/>
    <w:rsid w:val="00BF46C5"/>
    <w:rsid w:val="00C05993"/>
    <w:rsid w:val="00C105B9"/>
    <w:rsid w:val="00C22373"/>
    <w:rsid w:val="00C2256B"/>
    <w:rsid w:val="00C243D8"/>
    <w:rsid w:val="00C24C55"/>
    <w:rsid w:val="00C43D53"/>
    <w:rsid w:val="00C44680"/>
    <w:rsid w:val="00C50689"/>
    <w:rsid w:val="00C52354"/>
    <w:rsid w:val="00C5577A"/>
    <w:rsid w:val="00C7394C"/>
    <w:rsid w:val="00C82F4F"/>
    <w:rsid w:val="00C830DE"/>
    <w:rsid w:val="00C84C28"/>
    <w:rsid w:val="00C86E71"/>
    <w:rsid w:val="00C9005A"/>
    <w:rsid w:val="00CA0FFA"/>
    <w:rsid w:val="00CA1ADF"/>
    <w:rsid w:val="00CA22F7"/>
    <w:rsid w:val="00CB0D08"/>
    <w:rsid w:val="00CB4F21"/>
    <w:rsid w:val="00CC473B"/>
    <w:rsid w:val="00CC4C58"/>
    <w:rsid w:val="00CD5044"/>
    <w:rsid w:val="00CD75F0"/>
    <w:rsid w:val="00CE5C82"/>
    <w:rsid w:val="00CE70DD"/>
    <w:rsid w:val="00CF2866"/>
    <w:rsid w:val="00CF6FF9"/>
    <w:rsid w:val="00D01586"/>
    <w:rsid w:val="00D033CD"/>
    <w:rsid w:val="00D15450"/>
    <w:rsid w:val="00D15EC3"/>
    <w:rsid w:val="00D17918"/>
    <w:rsid w:val="00D20BB4"/>
    <w:rsid w:val="00D2462C"/>
    <w:rsid w:val="00D2481D"/>
    <w:rsid w:val="00D43EF2"/>
    <w:rsid w:val="00D618B9"/>
    <w:rsid w:val="00D67978"/>
    <w:rsid w:val="00D702E4"/>
    <w:rsid w:val="00D72466"/>
    <w:rsid w:val="00D77386"/>
    <w:rsid w:val="00D826CF"/>
    <w:rsid w:val="00D84740"/>
    <w:rsid w:val="00D85F8B"/>
    <w:rsid w:val="00D91900"/>
    <w:rsid w:val="00D93452"/>
    <w:rsid w:val="00D95C4F"/>
    <w:rsid w:val="00DB3571"/>
    <w:rsid w:val="00DB3AD7"/>
    <w:rsid w:val="00DB46D4"/>
    <w:rsid w:val="00DB682D"/>
    <w:rsid w:val="00DC23D5"/>
    <w:rsid w:val="00DC4A23"/>
    <w:rsid w:val="00DC756A"/>
    <w:rsid w:val="00DD7C81"/>
    <w:rsid w:val="00DE7B89"/>
    <w:rsid w:val="00DF0C9E"/>
    <w:rsid w:val="00DF165C"/>
    <w:rsid w:val="00DF2F99"/>
    <w:rsid w:val="00DF327D"/>
    <w:rsid w:val="00E05039"/>
    <w:rsid w:val="00E05D83"/>
    <w:rsid w:val="00E068BF"/>
    <w:rsid w:val="00E11649"/>
    <w:rsid w:val="00E17D40"/>
    <w:rsid w:val="00E20567"/>
    <w:rsid w:val="00E225E8"/>
    <w:rsid w:val="00E23B38"/>
    <w:rsid w:val="00E27DF6"/>
    <w:rsid w:val="00E31868"/>
    <w:rsid w:val="00E33316"/>
    <w:rsid w:val="00E33AC7"/>
    <w:rsid w:val="00E3515E"/>
    <w:rsid w:val="00E37145"/>
    <w:rsid w:val="00E4258E"/>
    <w:rsid w:val="00E47E31"/>
    <w:rsid w:val="00E50D93"/>
    <w:rsid w:val="00E569D2"/>
    <w:rsid w:val="00E5700F"/>
    <w:rsid w:val="00E574A6"/>
    <w:rsid w:val="00E60867"/>
    <w:rsid w:val="00E773A5"/>
    <w:rsid w:val="00E84A3C"/>
    <w:rsid w:val="00E85D97"/>
    <w:rsid w:val="00E863B9"/>
    <w:rsid w:val="00E86F7F"/>
    <w:rsid w:val="00E942C1"/>
    <w:rsid w:val="00E95D16"/>
    <w:rsid w:val="00EA094A"/>
    <w:rsid w:val="00EA23A4"/>
    <w:rsid w:val="00EA489E"/>
    <w:rsid w:val="00EA584D"/>
    <w:rsid w:val="00EB1EEE"/>
    <w:rsid w:val="00EC2313"/>
    <w:rsid w:val="00EC6302"/>
    <w:rsid w:val="00EC6679"/>
    <w:rsid w:val="00ED38E9"/>
    <w:rsid w:val="00ED3A3F"/>
    <w:rsid w:val="00ED7AE6"/>
    <w:rsid w:val="00EE59A2"/>
    <w:rsid w:val="00F065CC"/>
    <w:rsid w:val="00F10154"/>
    <w:rsid w:val="00F1501D"/>
    <w:rsid w:val="00F22157"/>
    <w:rsid w:val="00F30BD2"/>
    <w:rsid w:val="00F372F1"/>
    <w:rsid w:val="00F4594D"/>
    <w:rsid w:val="00F4639C"/>
    <w:rsid w:val="00F47C48"/>
    <w:rsid w:val="00F55415"/>
    <w:rsid w:val="00F60564"/>
    <w:rsid w:val="00F60F2F"/>
    <w:rsid w:val="00F61465"/>
    <w:rsid w:val="00F6722A"/>
    <w:rsid w:val="00F82314"/>
    <w:rsid w:val="00F837B7"/>
    <w:rsid w:val="00F877DD"/>
    <w:rsid w:val="00F87A49"/>
    <w:rsid w:val="00F92456"/>
    <w:rsid w:val="00F93D8A"/>
    <w:rsid w:val="00FA1E9A"/>
    <w:rsid w:val="00FA457E"/>
    <w:rsid w:val="00FB120C"/>
    <w:rsid w:val="00FC06B6"/>
    <w:rsid w:val="00FC6D4A"/>
    <w:rsid w:val="00FD0397"/>
    <w:rsid w:val="00FD073A"/>
    <w:rsid w:val="00FD0D32"/>
    <w:rsid w:val="00FD3B19"/>
    <w:rsid w:val="00FF212E"/>
    <w:rsid w:val="00FF2F27"/>
    <w:rsid w:val="00FF44A3"/>
    <w:rsid w:val="00FF60DF"/>
    <w:rsid w:val="01CB22F9"/>
    <w:rsid w:val="0C6208AE"/>
    <w:rsid w:val="0CF142E9"/>
    <w:rsid w:val="17702A0E"/>
    <w:rsid w:val="1CC205CB"/>
    <w:rsid w:val="2E7E539C"/>
    <w:rsid w:val="4B6407C0"/>
    <w:rsid w:val="55F97B84"/>
    <w:rsid w:val="61DD2E1B"/>
    <w:rsid w:val="666F7D52"/>
    <w:rsid w:val="66A74D3E"/>
    <w:rsid w:val="68CE5EB0"/>
    <w:rsid w:val="6E8304FB"/>
    <w:rsid w:val="6F7B8100"/>
    <w:rsid w:val="707C72EB"/>
    <w:rsid w:val="708B7C96"/>
    <w:rsid w:val="72A32411"/>
    <w:rsid w:val="78622CA7"/>
    <w:rsid w:val="7C267713"/>
    <w:rsid w:val="EBBC8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CJK JP Black" w:hAnsi="Noto Sans CJK JP Black" w:eastAsia="Noto Sans CJK JP Black" w:cs="Noto Sans CJK JP Black"/>
      <w:sz w:val="22"/>
      <w:szCs w:val="22"/>
      <w:lang w:val="en-US" w:eastAsia="zh-CN" w:bidi="ar-SA"/>
    </w:rPr>
  </w:style>
  <w:style w:type="paragraph" w:styleId="2">
    <w:name w:val="heading 1"/>
    <w:basedOn w:val="1"/>
    <w:next w:val="1"/>
    <w:link w:val="15"/>
    <w:qFormat/>
    <w:uiPriority w:val="1"/>
    <w:pPr>
      <w:spacing w:line="651" w:lineRule="exact"/>
      <w:ind w:right="173"/>
      <w:jc w:val="center"/>
      <w:outlineLvl w:val="0"/>
    </w:pPr>
    <w:rPr>
      <w:rFonts w:ascii="Noto Sans CJK JP Medium" w:hAnsi="Noto Sans CJK JP Medium" w:eastAsia="Noto Sans CJK JP Medium" w:cs="Noto Sans CJK JP Medium"/>
      <w:sz w:val="32"/>
      <w:szCs w:val="32"/>
    </w:rPr>
  </w:style>
  <w:style w:type="paragraph" w:styleId="3">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unhideWhenUsed/>
    <w:qFormat/>
    <w:uiPriority w:val="99"/>
  </w:style>
  <w:style w:type="paragraph" w:styleId="5">
    <w:name w:val="Body Text"/>
    <w:basedOn w:val="1"/>
    <w:link w:val="16"/>
    <w:qFormat/>
    <w:uiPriority w:val="1"/>
    <w:pPr>
      <w:ind w:left="1001"/>
    </w:pPr>
    <w:rPr>
      <w:sz w:val="24"/>
      <w:szCs w:val="24"/>
    </w:rPr>
  </w:style>
  <w:style w:type="paragraph" w:styleId="6">
    <w:name w:val="Balloon Text"/>
    <w:basedOn w:val="1"/>
    <w:link w:val="21"/>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5"/>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annotation reference"/>
    <w:basedOn w:val="12"/>
    <w:unhideWhenUsed/>
    <w:qFormat/>
    <w:uiPriority w:val="99"/>
    <w:rPr>
      <w:sz w:val="21"/>
      <w:szCs w:val="21"/>
    </w:rPr>
  </w:style>
  <w:style w:type="character" w:customStyle="1" w:styleId="15">
    <w:name w:val="标题 1 字符"/>
    <w:basedOn w:val="12"/>
    <w:link w:val="2"/>
    <w:qFormat/>
    <w:uiPriority w:val="1"/>
    <w:rPr>
      <w:rFonts w:ascii="Noto Sans CJK JP Medium" w:hAnsi="Noto Sans CJK JP Medium" w:eastAsia="Noto Sans CJK JP Medium" w:cs="Noto Sans CJK JP Medium"/>
      <w:kern w:val="0"/>
      <w:sz w:val="32"/>
      <w:szCs w:val="32"/>
    </w:rPr>
  </w:style>
  <w:style w:type="character" w:customStyle="1" w:styleId="16">
    <w:name w:val="正文文本 字符"/>
    <w:basedOn w:val="12"/>
    <w:link w:val="5"/>
    <w:qFormat/>
    <w:uiPriority w:val="1"/>
    <w:rPr>
      <w:rFonts w:ascii="Noto Sans CJK JP Black" w:hAnsi="Noto Sans CJK JP Black" w:eastAsia="Noto Sans CJK JP Black" w:cs="Noto Sans CJK JP Black"/>
      <w:kern w:val="0"/>
      <w:sz w:val="24"/>
      <w:szCs w:val="24"/>
    </w:rPr>
  </w:style>
  <w:style w:type="table" w:customStyle="1" w:styleId="17">
    <w:name w:val="Table Normal"/>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8">
    <w:name w:val="Table Paragraph"/>
    <w:basedOn w:val="1"/>
    <w:qFormat/>
    <w:uiPriority w:val="1"/>
    <w:pPr>
      <w:ind w:left="112"/>
    </w:pPr>
    <w:rPr>
      <w:rFonts w:ascii="Arial" w:hAnsi="Arial" w:eastAsia="Arial" w:cs="Arial"/>
    </w:rPr>
  </w:style>
  <w:style w:type="character" w:customStyle="1" w:styleId="19">
    <w:name w:val="页眉 字符"/>
    <w:basedOn w:val="12"/>
    <w:link w:val="8"/>
    <w:qFormat/>
    <w:uiPriority w:val="0"/>
    <w:rPr>
      <w:rFonts w:ascii="Noto Sans CJK JP Black" w:hAnsi="Noto Sans CJK JP Black" w:eastAsia="Noto Sans CJK JP Black" w:cs="Noto Sans CJK JP Black"/>
      <w:kern w:val="0"/>
      <w:sz w:val="18"/>
      <w:szCs w:val="18"/>
    </w:rPr>
  </w:style>
  <w:style w:type="character" w:customStyle="1" w:styleId="20">
    <w:name w:val="页脚 字符"/>
    <w:basedOn w:val="12"/>
    <w:link w:val="7"/>
    <w:qFormat/>
    <w:uiPriority w:val="99"/>
    <w:rPr>
      <w:rFonts w:ascii="Noto Sans CJK JP Black" w:hAnsi="Noto Sans CJK JP Black" w:eastAsia="Noto Sans CJK JP Black" w:cs="Noto Sans CJK JP Black"/>
      <w:kern w:val="0"/>
      <w:sz w:val="18"/>
      <w:szCs w:val="18"/>
    </w:rPr>
  </w:style>
  <w:style w:type="character" w:customStyle="1" w:styleId="21">
    <w:name w:val="批注框文本 字符"/>
    <w:basedOn w:val="12"/>
    <w:link w:val="6"/>
    <w:semiHidden/>
    <w:qFormat/>
    <w:uiPriority w:val="99"/>
    <w:rPr>
      <w:rFonts w:ascii="Noto Sans CJK JP Black" w:hAnsi="Noto Sans CJK JP Black" w:eastAsia="Noto Sans CJK JP Black" w:cs="Noto Sans CJK JP Black"/>
      <w:kern w:val="0"/>
      <w:sz w:val="18"/>
      <w:szCs w:val="18"/>
    </w:rPr>
  </w:style>
  <w:style w:type="paragraph" w:customStyle="1" w:styleId="2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3">
    <w:name w:val="列表段落1"/>
    <w:basedOn w:val="1"/>
    <w:qFormat/>
    <w:uiPriority w:val="34"/>
    <w:pPr>
      <w:ind w:firstLine="420" w:firstLineChars="200"/>
    </w:pPr>
  </w:style>
  <w:style w:type="character" w:customStyle="1" w:styleId="24">
    <w:name w:val="批注文字 字符"/>
    <w:basedOn w:val="12"/>
    <w:link w:val="4"/>
    <w:semiHidden/>
    <w:qFormat/>
    <w:uiPriority w:val="99"/>
    <w:rPr>
      <w:rFonts w:ascii="Noto Sans CJK JP Black" w:hAnsi="Noto Sans CJK JP Black" w:eastAsia="Noto Sans CJK JP Black" w:cs="Noto Sans CJK JP Black"/>
      <w:kern w:val="0"/>
      <w:sz w:val="22"/>
    </w:rPr>
  </w:style>
  <w:style w:type="character" w:customStyle="1" w:styleId="25">
    <w:name w:val="批注主题 字符"/>
    <w:basedOn w:val="24"/>
    <w:link w:val="9"/>
    <w:semiHidden/>
    <w:qFormat/>
    <w:uiPriority w:val="99"/>
    <w:rPr>
      <w:rFonts w:ascii="Noto Sans CJK JP Black" w:hAnsi="Noto Sans CJK JP Black" w:eastAsia="Noto Sans CJK JP Black" w:cs="Noto Sans CJK JP Black"/>
      <w:b/>
      <w:bCs/>
      <w:kern w:val="0"/>
      <w:sz w:val="22"/>
    </w:rPr>
  </w:style>
  <w:style w:type="character" w:customStyle="1" w:styleId="26">
    <w:name w:val="未处理的提及1"/>
    <w:basedOn w:val="12"/>
    <w:unhideWhenUsed/>
    <w:qFormat/>
    <w:uiPriority w:val="99"/>
    <w:rPr>
      <w:color w:val="605E5C"/>
      <w:shd w:val="clear" w:color="auto" w:fill="E1DFDD"/>
    </w:rPr>
  </w:style>
  <w:style w:type="character" w:customStyle="1" w:styleId="27">
    <w:name w:val="未处理的提及2"/>
    <w:basedOn w:val="12"/>
    <w:unhideWhenUsed/>
    <w:qFormat/>
    <w:uiPriority w:val="99"/>
    <w:rPr>
      <w:color w:val="605E5C"/>
      <w:shd w:val="clear" w:color="auto" w:fill="E1DFDD"/>
    </w:rPr>
  </w:style>
  <w:style w:type="character" w:customStyle="1" w:styleId="28">
    <w:name w:val="未处理的提及3"/>
    <w:basedOn w:val="12"/>
    <w:unhideWhenUsed/>
    <w:qFormat/>
    <w:uiPriority w:val="99"/>
    <w:rPr>
      <w:color w:val="605E5C"/>
      <w:shd w:val="clear" w:color="auto" w:fill="E1DFDD"/>
    </w:rPr>
  </w:style>
  <w:style w:type="character" w:customStyle="1" w:styleId="29">
    <w:name w:val="未处理的提及4"/>
    <w:basedOn w:val="12"/>
    <w:unhideWhenUsed/>
    <w:qFormat/>
    <w:uiPriority w:val="99"/>
    <w:rPr>
      <w:color w:val="605E5C"/>
      <w:shd w:val="clear" w:color="auto" w:fill="E1DFDD"/>
    </w:rPr>
  </w:style>
  <w:style w:type="character" w:customStyle="1" w:styleId="30">
    <w:name w:val="cf01"/>
    <w:basedOn w:val="12"/>
    <w:qFormat/>
    <w:uiPriority w:val="0"/>
    <w:rPr>
      <w:rFonts w:hint="eastAsia" w:ascii="Microsoft YaHei UI" w:hAnsi="Microsoft YaHei UI" w:eastAsia="Microsoft YaHei UI"/>
      <w:sz w:val="18"/>
      <w:szCs w:val="18"/>
    </w:rPr>
  </w:style>
  <w:style w:type="character" w:customStyle="1" w:styleId="31">
    <w:name w:val="cf11"/>
    <w:basedOn w:val="12"/>
    <w:qFormat/>
    <w:uiPriority w:val="0"/>
    <w:rPr>
      <w:rFonts w:hint="eastAsia" w:ascii="Microsoft YaHei UI" w:hAnsi="Microsoft YaHei UI" w:eastAsia="Microsoft YaHei UI"/>
      <w:sz w:val="18"/>
      <w:szCs w:val="18"/>
    </w:rPr>
  </w:style>
  <w:style w:type="character" w:customStyle="1" w:styleId="32">
    <w:name w:val="未处理的提及5"/>
    <w:basedOn w:val="12"/>
    <w:unhideWhenUsed/>
    <w:qFormat/>
    <w:uiPriority w:val="99"/>
    <w:rPr>
      <w:color w:val="605E5C"/>
      <w:shd w:val="clear" w:color="auto" w:fill="E1DFDD"/>
    </w:rPr>
  </w:style>
  <w:style w:type="character" w:customStyle="1" w:styleId="33">
    <w:name w:val="标题 3 字符"/>
    <w:basedOn w:val="12"/>
    <w:link w:val="3"/>
    <w:semiHidden/>
    <w:qFormat/>
    <w:uiPriority w:val="9"/>
    <w:rPr>
      <w:rFonts w:ascii="Noto Sans CJK JP Black" w:hAnsi="Noto Sans CJK JP Black" w:eastAsia="Noto Sans CJK JP Black" w:cs="Noto Sans CJK JP Black"/>
      <w:b/>
      <w:bCs/>
      <w:sz w:val="32"/>
      <w:szCs w:val="32"/>
    </w:rPr>
  </w:style>
  <w:style w:type="character" w:customStyle="1" w:styleId="34">
    <w:name w:val="未处理的提及6"/>
    <w:basedOn w:val="12"/>
    <w:unhideWhenUsed/>
    <w:qFormat/>
    <w:uiPriority w:val="99"/>
    <w:rPr>
      <w:color w:val="605E5C"/>
      <w:shd w:val="clear" w:color="auto" w:fill="E1DFDD"/>
    </w:rPr>
  </w:style>
  <w:style w:type="paragraph" w:customStyle="1" w:styleId="35">
    <w:name w:val="修订1"/>
    <w:hidden/>
    <w:semiHidden/>
    <w:qFormat/>
    <w:uiPriority w:val="99"/>
    <w:rPr>
      <w:rFonts w:ascii="Noto Sans CJK JP Black" w:hAnsi="Noto Sans CJK JP Black" w:eastAsia="Noto Sans CJK JP Black" w:cs="Noto Sans CJK JP Black"/>
      <w:sz w:val="22"/>
      <w:szCs w:val="22"/>
      <w:lang w:val="en-US" w:eastAsia="zh-CN" w:bidi="ar-SA"/>
    </w:rPr>
  </w:style>
  <w:style w:type="paragraph" w:customStyle="1" w:styleId="36">
    <w:name w:val="修订2"/>
    <w:hidden/>
    <w:semiHidden/>
    <w:qFormat/>
    <w:uiPriority w:val="99"/>
    <w:rPr>
      <w:rFonts w:ascii="Noto Sans CJK JP Black" w:hAnsi="Noto Sans CJK JP Black" w:eastAsia="Noto Sans CJK JP Black" w:cs="Noto Sans CJK JP Black"/>
      <w:sz w:val="22"/>
      <w:szCs w:val="22"/>
      <w:lang w:val="en-US" w:eastAsia="zh-CN" w:bidi="ar-SA"/>
    </w:rPr>
  </w:style>
  <w:style w:type="paragraph" w:customStyle="1" w:styleId="37">
    <w:name w:val="Revision"/>
    <w:hidden/>
    <w:semiHidden/>
    <w:qFormat/>
    <w:uiPriority w:val="99"/>
    <w:rPr>
      <w:rFonts w:ascii="Noto Sans CJK JP Black" w:hAnsi="Noto Sans CJK JP Black" w:eastAsia="Noto Sans CJK JP Black" w:cs="Noto Sans CJK JP Black"/>
      <w:sz w:val="22"/>
      <w:szCs w:val="22"/>
      <w:lang w:val="en-US" w:eastAsia="zh-CN" w:bidi="ar-SA"/>
    </w:rPr>
  </w:style>
  <w:style w:type="paragraph" w:customStyle="1" w:styleId="38">
    <w:name w:val="报告正文 Char"/>
    <w:basedOn w:val="1"/>
    <w:qFormat/>
    <w:uiPriority w:val="99"/>
    <w:pPr>
      <w:autoSpaceDE/>
      <w:autoSpaceDN/>
      <w:adjustRightInd w:val="0"/>
      <w:snapToGrid w:val="0"/>
      <w:spacing w:line="312" w:lineRule="auto"/>
      <w:ind w:left="2600"/>
      <w:jc w:val="both"/>
    </w:pPr>
    <w:rPr>
      <w:rFonts w:ascii="华文细黑" w:hAnsi="Times New Roman" w:eastAsia="华文细黑" w:cs="宋体"/>
      <w:kern w:val="2"/>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1299</Words>
  <Characters>1333</Characters>
  <Lines>9</Lines>
  <Paragraphs>2</Paragraphs>
  <TotalTime>30</TotalTime>
  <ScaleCrop>false</ScaleCrop>
  <LinksUpToDate>false</LinksUpToDate>
  <CharactersWithSpaces>1345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2023-04-20T15:02:00Z</dcterms:created>
  <dc:creator>dell</dc:creator>
  <cp:lastModifiedBy>Leanne</cp:lastModifiedBy>
  <dcterms:modified xsi:type="dcterms:W3CDTF">2023-04-20T17:39:17Z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3B1C1D8A364644A0B7BB44B93E44246C</vt:lpwstr>
  </property>
</Properties>
</file>